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501"/>
        <w:gridCol w:w="6409"/>
        <w:gridCol w:w="7650"/>
      </w:tblGrid>
      <w:tr w:rsidR="000B7181" w:rsidTr="00354F0A">
        <w:tc>
          <w:tcPr>
            <w:tcW w:w="172" w:type="pct"/>
          </w:tcPr>
          <w:p w:rsidR="00247953" w:rsidRPr="001E7237" w:rsidRDefault="00354F0A" w:rsidP="00E14930">
            <w:pPr>
              <w:rPr>
                <w:b/>
                <w:lang w:eastAsia="en-US"/>
              </w:rPr>
            </w:pPr>
            <w:bookmarkStart w:id="0" w:name="_GoBack"/>
          </w:p>
        </w:tc>
        <w:tc>
          <w:tcPr>
            <w:tcW w:w="2201" w:type="pct"/>
          </w:tcPr>
          <w:p w:rsidR="00247953" w:rsidRDefault="00AA5BBC" w:rsidP="00E14930">
            <w:pPr>
              <w:rPr>
                <w:b/>
                <w:lang w:eastAsia="en-US"/>
              </w:rPr>
            </w:pPr>
            <w:r>
              <w:rPr>
                <w:b/>
                <w:lang w:eastAsia="en-US"/>
              </w:rPr>
              <w:t>Committee for Standard in Public Life Proposal</w:t>
            </w:r>
          </w:p>
          <w:p w:rsidR="001E7237" w:rsidRPr="00B36C24" w:rsidRDefault="00354F0A" w:rsidP="00E14930">
            <w:pPr>
              <w:rPr>
                <w:b/>
                <w:sz w:val="12"/>
                <w:szCs w:val="12"/>
                <w:lang w:eastAsia="en-US"/>
              </w:rPr>
            </w:pPr>
          </w:p>
        </w:tc>
        <w:tc>
          <w:tcPr>
            <w:tcW w:w="2627" w:type="pct"/>
          </w:tcPr>
          <w:p w:rsidR="00247953" w:rsidRPr="001E7237" w:rsidRDefault="00AA5BBC" w:rsidP="005F6EB5">
            <w:pPr>
              <w:rPr>
                <w:b/>
                <w:lang w:eastAsia="en-US"/>
              </w:rPr>
            </w:pPr>
            <w:r>
              <w:rPr>
                <w:b/>
                <w:lang w:eastAsia="en-US"/>
              </w:rPr>
              <w:t>Comment / Response</w:t>
            </w:r>
          </w:p>
        </w:tc>
      </w:tr>
      <w:tr w:rsidR="000B7181" w:rsidTr="00354F0A">
        <w:trPr>
          <w:trHeight w:val="2135"/>
        </w:trPr>
        <w:tc>
          <w:tcPr>
            <w:tcW w:w="172" w:type="pct"/>
          </w:tcPr>
          <w:p w:rsidR="001C17F8" w:rsidRPr="001E7237" w:rsidRDefault="00AA5BBC" w:rsidP="00E14930">
            <w:pPr>
              <w:rPr>
                <w:lang w:eastAsia="en-US"/>
              </w:rPr>
            </w:pPr>
            <w:r w:rsidRPr="001E7237">
              <w:rPr>
                <w:lang w:eastAsia="en-US"/>
              </w:rPr>
              <w:t>1</w:t>
            </w:r>
          </w:p>
        </w:tc>
        <w:tc>
          <w:tcPr>
            <w:tcW w:w="2201" w:type="pct"/>
          </w:tcPr>
          <w:p w:rsidR="001E7237" w:rsidRPr="001E7237" w:rsidRDefault="00AA5BBC" w:rsidP="00B36C24">
            <w:pPr>
              <w:spacing w:after="80"/>
              <w:rPr>
                <w:sz w:val="16"/>
                <w:szCs w:val="16"/>
                <w:lang w:eastAsia="en-US"/>
              </w:rPr>
            </w:pPr>
            <w:r w:rsidRPr="001E7237">
              <w:rPr>
                <w:lang w:eastAsia="en-US"/>
              </w:rPr>
              <w:t xml:space="preserve">Local authorities should include prohibitions on bullying and harassment in codes of conduct. These should include a definition of bullying and harassment, supplemented with a list of examples of the sort of behaviour covered by such a definition. </w:t>
            </w:r>
          </w:p>
        </w:tc>
        <w:tc>
          <w:tcPr>
            <w:tcW w:w="2627" w:type="pct"/>
          </w:tcPr>
          <w:p w:rsidR="00C2730C" w:rsidRPr="00C2730C" w:rsidRDefault="00AA5BBC" w:rsidP="00C2730C">
            <w:pPr>
              <w:pStyle w:val="Default"/>
              <w:rPr>
                <w:rFonts w:ascii="Arial" w:hAnsi="Arial" w:cs="Arial"/>
              </w:rPr>
            </w:pPr>
            <w:r w:rsidRPr="00C2730C">
              <w:rPr>
                <w:rFonts w:ascii="Arial" w:hAnsi="Arial" w:cs="Arial"/>
              </w:rPr>
              <w:t>It is suggested that Lancashire adopt the following f</w:t>
            </w:r>
            <w:r>
              <w:rPr>
                <w:rFonts w:ascii="Arial" w:hAnsi="Arial" w:cs="Arial"/>
              </w:rPr>
              <w:t>rom</w:t>
            </w:r>
            <w:r w:rsidRPr="00C2730C">
              <w:rPr>
                <w:rFonts w:ascii="Arial" w:hAnsi="Arial" w:cs="Arial"/>
              </w:rPr>
              <w:t xml:space="preserve"> the  Local Government Association </w:t>
            </w:r>
            <w:r>
              <w:rPr>
                <w:rFonts w:ascii="Arial" w:hAnsi="Arial" w:cs="Arial"/>
              </w:rPr>
              <w:t>m</w:t>
            </w:r>
            <w:r w:rsidRPr="00C2730C">
              <w:rPr>
                <w:rFonts w:ascii="Arial" w:hAnsi="Arial" w:cs="Arial"/>
              </w:rPr>
              <w:t xml:space="preserve">odel </w:t>
            </w:r>
            <w:r>
              <w:rPr>
                <w:rFonts w:ascii="Arial" w:hAnsi="Arial" w:cs="Arial"/>
              </w:rPr>
              <w:t>c</w:t>
            </w:r>
            <w:r w:rsidRPr="00C2730C">
              <w:rPr>
                <w:rFonts w:ascii="Arial" w:hAnsi="Arial" w:cs="Arial"/>
              </w:rPr>
              <w:t>ode:</w:t>
            </w:r>
          </w:p>
          <w:p w:rsidR="00C2730C" w:rsidRPr="00C2730C" w:rsidRDefault="00354F0A" w:rsidP="00C2730C">
            <w:pPr>
              <w:pStyle w:val="Default"/>
              <w:rPr>
                <w:rFonts w:ascii="Arial" w:hAnsi="Arial" w:cs="Arial"/>
                <w:color w:val="auto"/>
              </w:rPr>
            </w:pPr>
          </w:p>
          <w:p w:rsidR="00C2730C" w:rsidRPr="00C2730C" w:rsidRDefault="00AA5BBC" w:rsidP="00C2730C">
            <w:pPr>
              <w:pStyle w:val="Default"/>
              <w:numPr>
                <w:ilvl w:val="0"/>
                <w:numId w:val="2"/>
              </w:numPr>
              <w:ind w:left="462" w:hanging="284"/>
              <w:rPr>
                <w:rFonts w:ascii="Arial" w:hAnsi="Arial" w:cs="Arial"/>
                <w:color w:val="auto"/>
              </w:rPr>
            </w:pPr>
            <w:r w:rsidRPr="00C2730C">
              <w:rPr>
                <w:rFonts w:ascii="Arial" w:hAnsi="Arial" w:cs="Arial"/>
                <w:color w:val="auto"/>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rsidR="00C2730C" w:rsidRPr="00C2730C" w:rsidRDefault="00AA5BBC" w:rsidP="00C2730C">
            <w:pPr>
              <w:pStyle w:val="Default"/>
              <w:ind w:left="462"/>
              <w:rPr>
                <w:rFonts w:ascii="Arial" w:hAnsi="Arial" w:cs="Arial"/>
                <w:color w:val="auto"/>
              </w:rPr>
            </w:pPr>
            <w:r w:rsidRPr="00C2730C">
              <w:rPr>
                <w:rFonts w:ascii="Arial" w:hAnsi="Arial" w:cs="Arial"/>
                <w:color w:val="auto"/>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rsidR="001C17F8" w:rsidRDefault="00AA5BBC" w:rsidP="00C2730C">
            <w:pPr>
              <w:pStyle w:val="Default"/>
              <w:ind w:left="462"/>
              <w:rPr>
                <w:rFonts w:ascii="Arial" w:hAnsi="Arial" w:cs="Arial"/>
              </w:rPr>
            </w:pPr>
            <w:r w:rsidRPr="00C2730C">
              <w:rPr>
                <w:rFonts w:ascii="Arial" w:hAnsi="Arial" w:cs="Arial"/>
                <w:color w:val="auto"/>
              </w:rPr>
              <w:t>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r w:rsidRPr="00C2730C">
              <w:rPr>
                <w:rFonts w:ascii="Arial" w:hAnsi="Arial" w:cs="Arial"/>
              </w:rPr>
              <w:t>"</w:t>
            </w:r>
          </w:p>
          <w:p w:rsidR="00BE6FEA" w:rsidRPr="00C2730C" w:rsidRDefault="00354F0A" w:rsidP="00C2730C">
            <w:pPr>
              <w:pStyle w:val="Default"/>
              <w:ind w:left="462"/>
              <w:rPr>
                <w:rFonts w:ascii="Arial" w:hAnsi="Arial" w:cs="Arial"/>
              </w:rPr>
            </w:pPr>
          </w:p>
        </w:tc>
      </w:tr>
      <w:tr w:rsidR="000B7181" w:rsidTr="00354F0A">
        <w:tc>
          <w:tcPr>
            <w:tcW w:w="172" w:type="pct"/>
          </w:tcPr>
          <w:p w:rsidR="001C17F8" w:rsidRPr="001E7237" w:rsidRDefault="00AA5BBC" w:rsidP="00E14930">
            <w:pPr>
              <w:rPr>
                <w:lang w:eastAsia="en-US"/>
              </w:rPr>
            </w:pPr>
            <w:r w:rsidRPr="001E7237">
              <w:rPr>
                <w:lang w:eastAsia="en-US"/>
              </w:rPr>
              <w:t>2</w:t>
            </w:r>
          </w:p>
        </w:tc>
        <w:tc>
          <w:tcPr>
            <w:tcW w:w="2201" w:type="pct"/>
          </w:tcPr>
          <w:p w:rsidR="001E7237" w:rsidRPr="001E7237" w:rsidRDefault="00AA5BBC" w:rsidP="00B36C24">
            <w:pPr>
              <w:spacing w:after="80"/>
              <w:rPr>
                <w:sz w:val="16"/>
                <w:szCs w:val="16"/>
                <w:lang w:eastAsia="en-US"/>
              </w:rPr>
            </w:pPr>
            <w:r w:rsidRPr="001E7237">
              <w:rPr>
                <w:lang w:eastAsia="en-US"/>
              </w:rPr>
              <w:t xml:space="preserve">Councils should include provisions in their code of conduct requiring councillors to comply with any formal standards investigation, and prohibiting trivial or malicious allegations by councillors. </w:t>
            </w:r>
          </w:p>
        </w:tc>
        <w:tc>
          <w:tcPr>
            <w:tcW w:w="2627" w:type="pct"/>
          </w:tcPr>
          <w:p w:rsidR="00C2730C" w:rsidRPr="00C2730C" w:rsidRDefault="00AA5BBC" w:rsidP="00C2730C">
            <w:pPr>
              <w:pStyle w:val="Default"/>
              <w:rPr>
                <w:rFonts w:ascii="Arial" w:hAnsi="Arial" w:cs="Arial"/>
              </w:rPr>
            </w:pPr>
            <w:r>
              <w:rPr>
                <w:rFonts w:ascii="Arial" w:hAnsi="Arial" w:cs="Arial"/>
              </w:rPr>
              <w:t>The</w:t>
            </w:r>
            <w:r w:rsidRPr="00C2730C">
              <w:rPr>
                <w:rFonts w:ascii="Arial" w:hAnsi="Arial" w:cs="Arial"/>
              </w:rPr>
              <w:t xml:space="preserve"> Local Government Association </w:t>
            </w:r>
            <w:r>
              <w:rPr>
                <w:rFonts w:ascii="Arial" w:hAnsi="Arial" w:cs="Arial"/>
              </w:rPr>
              <w:t>m</w:t>
            </w:r>
            <w:r w:rsidRPr="00C2730C">
              <w:rPr>
                <w:rFonts w:ascii="Arial" w:hAnsi="Arial" w:cs="Arial"/>
              </w:rPr>
              <w:t xml:space="preserve">odel </w:t>
            </w:r>
            <w:r>
              <w:rPr>
                <w:rFonts w:ascii="Arial" w:hAnsi="Arial" w:cs="Arial"/>
              </w:rPr>
              <w:t>c</w:t>
            </w:r>
            <w:r w:rsidRPr="00C2730C">
              <w:rPr>
                <w:rFonts w:ascii="Arial" w:hAnsi="Arial" w:cs="Arial"/>
              </w:rPr>
              <w:t>ode</w:t>
            </w:r>
            <w:r>
              <w:rPr>
                <w:rFonts w:ascii="Arial" w:hAnsi="Arial" w:cs="Arial"/>
              </w:rPr>
              <w:t xml:space="preserve"> includes the following</w:t>
            </w:r>
            <w:r w:rsidRPr="00C2730C">
              <w:rPr>
                <w:rFonts w:ascii="Arial" w:hAnsi="Arial" w:cs="Arial"/>
              </w:rPr>
              <w:t>:</w:t>
            </w:r>
          </w:p>
          <w:p w:rsidR="00C2730C" w:rsidRPr="00C2730C" w:rsidRDefault="00354F0A" w:rsidP="00C2730C">
            <w:pPr>
              <w:autoSpaceDE w:val="0"/>
              <w:autoSpaceDN w:val="0"/>
              <w:adjustRightInd w:val="0"/>
              <w:rPr>
                <w:rFonts w:eastAsiaTheme="minorHAnsi"/>
                <w:color w:val="000000"/>
                <w:lang w:eastAsia="en-US"/>
              </w:rPr>
            </w:pPr>
          </w:p>
          <w:p w:rsidR="00C2730C" w:rsidRPr="00C2730C" w:rsidRDefault="00AA5BBC" w:rsidP="00C2730C">
            <w:pPr>
              <w:pStyle w:val="ListParagraph"/>
              <w:numPr>
                <w:ilvl w:val="0"/>
                <w:numId w:val="2"/>
              </w:numPr>
              <w:autoSpaceDE w:val="0"/>
              <w:autoSpaceDN w:val="0"/>
              <w:adjustRightInd w:val="0"/>
              <w:spacing w:after="280"/>
              <w:ind w:left="320" w:hanging="142"/>
              <w:rPr>
                <w:rFonts w:ascii="Arial" w:hAnsi="Arial" w:cs="Arial"/>
                <w:bCs/>
                <w:color w:val="000000"/>
                <w:sz w:val="24"/>
                <w:szCs w:val="24"/>
              </w:rPr>
            </w:pPr>
            <w:r w:rsidRPr="00C2730C">
              <w:rPr>
                <w:rFonts w:ascii="Arial" w:hAnsi="Arial" w:cs="Arial"/>
                <w:bCs/>
                <w:color w:val="000000"/>
                <w:sz w:val="24"/>
                <w:szCs w:val="24"/>
              </w:rPr>
              <w:t xml:space="preserve">"8. Complying with the Code of Conduct </w:t>
            </w:r>
          </w:p>
          <w:p w:rsidR="00C2730C" w:rsidRPr="00C2730C" w:rsidRDefault="00AA5BBC" w:rsidP="00AA5BBC">
            <w:pPr>
              <w:autoSpaceDE w:val="0"/>
              <w:autoSpaceDN w:val="0"/>
              <w:adjustRightInd w:val="0"/>
              <w:ind w:left="462" w:hanging="142"/>
              <w:rPr>
                <w:rFonts w:eastAsiaTheme="minorHAnsi"/>
                <w:color w:val="000000"/>
                <w:lang w:eastAsia="en-US"/>
              </w:rPr>
            </w:pPr>
            <w:r w:rsidRPr="00C2730C">
              <w:rPr>
                <w:rFonts w:eastAsiaTheme="minorHAnsi"/>
                <w:bCs/>
                <w:color w:val="000000"/>
                <w:lang w:eastAsia="en-US"/>
              </w:rPr>
              <w:t xml:space="preserve">8.1 I undertake Code of Conduct training provided by my local authority. </w:t>
            </w:r>
          </w:p>
          <w:p w:rsidR="00C2730C" w:rsidRPr="00C2730C" w:rsidRDefault="00AA5BBC" w:rsidP="00C2730C">
            <w:pPr>
              <w:autoSpaceDE w:val="0"/>
              <w:autoSpaceDN w:val="0"/>
              <w:adjustRightInd w:val="0"/>
              <w:spacing w:after="280"/>
              <w:ind w:left="320"/>
              <w:rPr>
                <w:rFonts w:eastAsiaTheme="minorHAnsi"/>
                <w:color w:val="000000"/>
                <w:lang w:eastAsia="en-US"/>
              </w:rPr>
            </w:pPr>
            <w:r w:rsidRPr="00C2730C">
              <w:rPr>
                <w:rFonts w:eastAsiaTheme="minorHAnsi"/>
                <w:bCs/>
                <w:color w:val="000000"/>
                <w:lang w:eastAsia="en-US"/>
              </w:rPr>
              <w:lastRenderedPageBreak/>
              <w:t xml:space="preserve">8.2 I cooperate with any Code of Conduct investigation and/or determination. </w:t>
            </w:r>
          </w:p>
          <w:p w:rsidR="00C2730C" w:rsidRPr="00C2730C" w:rsidRDefault="00AA5BBC" w:rsidP="00C2730C">
            <w:pPr>
              <w:autoSpaceDE w:val="0"/>
              <w:autoSpaceDN w:val="0"/>
              <w:adjustRightInd w:val="0"/>
              <w:spacing w:after="280"/>
              <w:ind w:left="320"/>
              <w:rPr>
                <w:rFonts w:eastAsiaTheme="minorHAnsi"/>
                <w:color w:val="000000"/>
                <w:lang w:eastAsia="en-US"/>
              </w:rPr>
            </w:pPr>
            <w:r w:rsidRPr="00C2730C">
              <w:rPr>
                <w:rFonts w:eastAsiaTheme="minorHAnsi"/>
                <w:bCs/>
                <w:color w:val="000000"/>
                <w:lang w:eastAsia="en-US"/>
              </w:rPr>
              <w:t xml:space="preserve">8.3 I do not intimidate or attempt to intimidate any person who is likely to be involved with the administration of any investigation or proceedings. </w:t>
            </w:r>
          </w:p>
          <w:p w:rsidR="00C2730C" w:rsidRPr="00C2730C" w:rsidRDefault="00AA5BBC" w:rsidP="00C2730C">
            <w:pPr>
              <w:autoSpaceDE w:val="0"/>
              <w:autoSpaceDN w:val="0"/>
              <w:adjustRightInd w:val="0"/>
              <w:ind w:left="320"/>
              <w:rPr>
                <w:rFonts w:eastAsiaTheme="minorHAnsi"/>
                <w:color w:val="000000"/>
                <w:lang w:eastAsia="en-US"/>
              </w:rPr>
            </w:pPr>
            <w:r w:rsidRPr="00C2730C">
              <w:rPr>
                <w:rFonts w:eastAsiaTheme="minorHAnsi"/>
                <w:bCs/>
                <w:color w:val="000000"/>
                <w:lang w:eastAsia="en-US"/>
              </w:rPr>
              <w:t xml:space="preserve">8.4 I comply with any sanction imposed on me following a finding that I have breached the Code of Conduct. </w:t>
            </w:r>
            <w:r>
              <w:rPr>
                <w:rFonts w:eastAsiaTheme="minorHAnsi"/>
                <w:bCs/>
                <w:color w:val="000000"/>
                <w:lang w:eastAsia="en-US"/>
              </w:rPr>
              <w:t>"</w:t>
            </w:r>
          </w:p>
          <w:p w:rsidR="00C2730C" w:rsidRPr="00C2730C" w:rsidRDefault="00354F0A" w:rsidP="00C2730C">
            <w:pPr>
              <w:autoSpaceDE w:val="0"/>
              <w:autoSpaceDN w:val="0"/>
              <w:adjustRightInd w:val="0"/>
              <w:rPr>
                <w:rFonts w:eastAsiaTheme="minorHAnsi"/>
                <w:color w:val="000000"/>
                <w:sz w:val="22"/>
                <w:szCs w:val="22"/>
                <w:lang w:eastAsia="en-US"/>
              </w:rPr>
            </w:pPr>
          </w:p>
          <w:p w:rsidR="001C17F8" w:rsidRDefault="00AA5BBC" w:rsidP="00C2730C">
            <w:pPr>
              <w:rPr>
                <w:lang w:eastAsia="en-US"/>
              </w:rPr>
            </w:pPr>
            <w:r>
              <w:rPr>
                <w:lang w:eastAsia="en-US"/>
              </w:rPr>
              <w:t>It is suggested that these provisions be included in the Lancashire code, albeit that the Local Government Association code is written in the first person ("I"). The current Lancashire code uses the second person ("you") and so this would need to be reworded as appropriate.</w:t>
            </w:r>
          </w:p>
          <w:p w:rsidR="00C2730C" w:rsidRPr="003A49C2" w:rsidRDefault="00354F0A" w:rsidP="00C2730C">
            <w:pPr>
              <w:rPr>
                <w:lang w:eastAsia="en-US"/>
              </w:rPr>
            </w:pPr>
          </w:p>
        </w:tc>
      </w:tr>
      <w:tr w:rsidR="000B7181" w:rsidTr="00354F0A">
        <w:tc>
          <w:tcPr>
            <w:tcW w:w="172" w:type="pct"/>
          </w:tcPr>
          <w:p w:rsidR="001C17F8" w:rsidRPr="001E7237" w:rsidRDefault="00AA5BBC" w:rsidP="00E14930">
            <w:pPr>
              <w:rPr>
                <w:lang w:eastAsia="en-US"/>
              </w:rPr>
            </w:pPr>
            <w:r w:rsidRPr="001E7237">
              <w:rPr>
                <w:lang w:eastAsia="en-US"/>
              </w:rPr>
              <w:lastRenderedPageBreak/>
              <w:t>6</w:t>
            </w:r>
          </w:p>
        </w:tc>
        <w:tc>
          <w:tcPr>
            <w:tcW w:w="2201" w:type="pct"/>
          </w:tcPr>
          <w:p w:rsidR="001E7237" w:rsidRPr="001E7237" w:rsidRDefault="00AA5BBC" w:rsidP="00B36C24">
            <w:pPr>
              <w:spacing w:after="80"/>
              <w:rPr>
                <w:sz w:val="16"/>
                <w:szCs w:val="16"/>
                <w:lang w:eastAsia="en-US"/>
              </w:rPr>
            </w:pPr>
            <w:r w:rsidRPr="001E7237">
              <w:rPr>
                <w:lang w:eastAsia="en-US"/>
              </w:rPr>
              <w:t xml:space="preserve">Councils should publish a clear and straightforward public interest test against which allegations are filtered. </w:t>
            </w:r>
          </w:p>
        </w:tc>
        <w:tc>
          <w:tcPr>
            <w:tcW w:w="2627" w:type="pct"/>
          </w:tcPr>
          <w:p w:rsidR="001C17F8" w:rsidRDefault="00AA5BBC" w:rsidP="00E14930">
            <w:pPr>
              <w:rPr>
                <w:lang w:eastAsia="en-US"/>
              </w:rPr>
            </w:pPr>
            <w:r>
              <w:rPr>
                <w:lang w:eastAsia="en-US"/>
              </w:rPr>
              <w:t>A number of Public interest tests published by other councils have been reviewed. See Appendix B for a suggested test for Lancashire.</w:t>
            </w:r>
          </w:p>
          <w:p w:rsidR="00BE6FEA" w:rsidRPr="003A49C2" w:rsidRDefault="00354F0A" w:rsidP="00E14930">
            <w:pPr>
              <w:rPr>
                <w:lang w:eastAsia="en-US"/>
              </w:rPr>
            </w:pPr>
          </w:p>
        </w:tc>
      </w:tr>
      <w:tr w:rsidR="000B7181" w:rsidTr="00354F0A">
        <w:tc>
          <w:tcPr>
            <w:tcW w:w="172" w:type="pct"/>
          </w:tcPr>
          <w:p w:rsidR="001C17F8" w:rsidRPr="001E7237" w:rsidRDefault="00AA5BBC" w:rsidP="00E14930">
            <w:pPr>
              <w:rPr>
                <w:lang w:eastAsia="en-US"/>
              </w:rPr>
            </w:pPr>
            <w:r w:rsidRPr="001E7237">
              <w:rPr>
                <w:lang w:eastAsia="en-US"/>
              </w:rPr>
              <w:t>13</w:t>
            </w:r>
          </w:p>
        </w:tc>
        <w:tc>
          <w:tcPr>
            <w:tcW w:w="2201" w:type="pct"/>
          </w:tcPr>
          <w:p w:rsidR="00C93B88" w:rsidRDefault="00AA5BBC" w:rsidP="00C93B88">
            <w:pPr>
              <w:rPr>
                <w:lang w:eastAsia="en-US"/>
              </w:rPr>
            </w:pPr>
            <w:r w:rsidRPr="001E7237">
              <w:rPr>
                <w:lang w:eastAsia="en-US"/>
              </w:rPr>
              <w:t xml:space="preserve">A local authority should have procedures in place to address any conflicts of interest when undertaking a standards investigation. Possible steps should include asking the Monitoring Officer from a different authority to undertake the investigation. </w:t>
            </w:r>
          </w:p>
          <w:p w:rsidR="00B36C24" w:rsidRPr="00B36C24" w:rsidRDefault="00354F0A" w:rsidP="00C93B88">
            <w:pPr>
              <w:rPr>
                <w:sz w:val="16"/>
                <w:szCs w:val="16"/>
                <w:lang w:eastAsia="en-US"/>
              </w:rPr>
            </w:pPr>
          </w:p>
        </w:tc>
        <w:tc>
          <w:tcPr>
            <w:tcW w:w="2627" w:type="pct"/>
          </w:tcPr>
          <w:p w:rsidR="001C17F8" w:rsidRDefault="00AA5BBC" w:rsidP="00E14930">
            <w:pPr>
              <w:rPr>
                <w:lang w:eastAsia="en-US"/>
              </w:rPr>
            </w:pPr>
            <w:r>
              <w:rPr>
                <w:lang w:eastAsia="en-US"/>
              </w:rPr>
              <w:t>Suggested wording for inclusion in our guide to handling complaints:</w:t>
            </w:r>
          </w:p>
          <w:p w:rsidR="00BE6FEA" w:rsidRDefault="00354F0A" w:rsidP="00E14930">
            <w:pPr>
              <w:rPr>
                <w:lang w:eastAsia="en-US"/>
              </w:rPr>
            </w:pPr>
          </w:p>
          <w:p w:rsidR="003A49C2" w:rsidRPr="003A49C2" w:rsidRDefault="00AA5BBC" w:rsidP="003A49C2">
            <w:pPr>
              <w:pStyle w:val="ListParagraph"/>
              <w:numPr>
                <w:ilvl w:val="0"/>
                <w:numId w:val="1"/>
              </w:numPr>
              <w:ind w:left="320" w:hanging="284"/>
              <w:rPr>
                <w:rFonts w:ascii="Arial" w:hAnsi="Arial" w:cs="Arial"/>
                <w:sz w:val="24"/>
                <w:szCs w:val="24"/>
              </w:rPr>
            </w:pPr>
            <w:r w:rsidRPr="003A49C2">
              <w:rPr>
                <w:rFonts w:ascii="Arial" w:hAnsi="Arial" w:cs="Arial"/>
                <w:sz w:val="24"/>
                <w:szCs w:val="24"/>
              </w:rPr>
              <w:t>"Prior to undertaking a standards investigation, the Monitoring Officer will consider the case and determine whether there could be an actual or perceived conflict of interest if they were to carry out the review. If this is the case, then the Monitoring Officer will approach a Monitoring Officer from a different authority or other appropriate senior officer to complete the enquiry. "</w:t>
            </w:r>
          </w:p>
          <w:p w:rsidR="003A49C2" w:rsidRPr="003A49C2" w:rsidRDefault="00354F0A" w:rsidP="00E14930">
            <w:pPr>
              <w:rPr>
                <w:lang w:eastAsia="en-US"/>
              </w:rPr>
            </w:pPr>
          </w:p>
        </w:tc>
      </w:tr>
      <w:tr w:rsidR="000B7181" w:rsidTr="00354F0A">
        <w:tc>
          <w:tcPr>
            <w:tcW w:w="172" w:type="pct"/>
          </w:tcPr>
          <w:p w:rsidR="001C17F8" w:rsidRPr="001E7237" w:rsidRDefault="00AA5BBC" w:rsidP="00E14930">
            <w:pPr>
              <w:rPr>
                <w:lang w:eastAsia="en-US"/>
              </w:rPr>
            </w:pPr>
            <w:r w:rsidRPr="001E7237">
              <w:rPr>
                <w:lang w:eastAsia="en-US"/>
              </w:rPr>
              <w:t>15</w:t>
            </w:r>
          </w:p>
        </w:tc>
        <w:tc>
          <w:tcPr>
            <w:tcW w:w="2201" w:type="pct"/>
          </w:tcPr>
          <w:p w:rsidR="001C17F8" w:rsidRPr="001E7237" w:rsidRDefault="00AA5BBC" w:rsidP="00E14930">
            <w:pPr>
              <w:rPr>
                <w:lang w:eastAsia="en-US"/>
              </w:rPr>
            </w:pPr>
            <w:r w:rsidRPr="001E7237">
              <w:rPr>
                <w:lang w:eastAsia="en-US"/>
              </w:rPr>
              <w:t xml:space="preserve">Senior officers should meet regularly with political group leaders or group whips to discuss standards issues. </w:t>
            </w:r>
          </w:p>
        </w:tc>
        <w:tc>
          <w:tcPr>
            <w:tcW w:w="2627" w:type="pct"/>
          </w:tcPr>
          <w:p w:rsidR="00B36C24" w:rsidRDefault="00AA5BBC" w:rsidP="00E14930">
            <w:pPr>
              <w:rPr>
                <w:lang w:eastAsia="en-US"/>
              </w:rPr>
            </w:pPr>
            <w:r>
              <w:rPr>
                <w:lang w:eastAsia="en-US"/>
              </w:rPr>
              <w:t xml:space="preserve">Meetings now in place with Monitoring Officer and Political Groups, covering standards and other political management issues. </w:t>
            </w:r>
          </w:p>
          <w:p w:rsidR="00BE6FEA" w:rsidRPr="003A49C2" w:rsidRDefault="00354F0A" w:rsidP="00E14930">
            <w:pPr>
              <w:rPr>
                <w:lang w:eastAsia="en-US"/>
              </w:rPr>
            </w:pPr>
          </w:p>
        </w:tc>
      </w:tr>
      <w:bookmarkEnd w:id="0"/>
    </w:tbl>
    <w:p w:rsidR="001E7237" w:rsidRPr="001E7237" w:rsidRDefault="00354F0A" w:rsidP="001E7237"/>
    <w:sectPr w:rsidR="001E7237" w:rsidRPr="001E7237" w:rsidSect="003A49C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7A0"/>
    <w:multiLevelType w:val="hybridMultilevel"/>
    <w:tmpl w:val="C6BEFCA0"/>
    <w:lvl w:ilvl="0" w:tplc="48C6365C">
      <w:start w:val="1"/>
      <w:numFmt w:val="bullet"/>
      <w:lvlText w:val=""/>
      <w:lvlJc w:val="left"/>
      <w:pPr>
        <w:ind w:left="720" w:hanging="360"/>
      </w:pPr>
      <w:rPr>
        <w:rFonts w:ascii="Symbol" w:hAnsi="Symbol" w:hint="default"/>
      </w:rPr>
    </w:lvl>
    <w:lvl w:ilvl="1" w:tplc="DE7CF5CA" w:tentative="1">
      <w:start w:val="1"/>
      <w:numFmt w:val="bullet"/>
      <w:lvlText w:val="o"/>
      <w:lvlJc w:val="left"/>
      <w:pPr>
        <w:ind w:left="1440" w:hanging="360"/>
      </w:pPr>
      <w:rPr>
        <w:rFonts w:ascii="Courier New" w:hAnsi="Courier New" w:cs="Courier New" w:hint="default"/>
      </w:rPr>
    </w:lvl>
    <w:lvl w:ilvl="2" w:tplc="C7802A88" w:tentative="1">
      <w:start w:val="1"/>
      <w:numFmt w:val="bullet"/>
      <w:lvlText w:val=""/>
      <w:lvlJc w:val="left"/>
      <w:pPr>
        <w:ind w:left="2160" w:hanging="360"/>
      </w:pPr>
      <w:rPr>
        <w:rFonts w:ascii="Wingdings" w:hAnsi="Wingdings" w:hint="default"/>
      </w:rPr>
    </w:lvl>
    <w:lvl w:ilvl="3" w:tplc="F3A482E0" w:tentative="1">
      <w:start w:val="1"/>
      <w:numFmt w:val="bullet"/>
      <w:lvlText w:val=""/>
      <w:lvlJc w:val="left"/>
      <w:pPr>
        <w:ind w:left="2880" w:hanging="360"/>
      </w:pPr>
      <w:rPr>
        <w:rFonts w:ascii="Symbol" w:hAnsi="Symbol" w:hint="default"/>
      </w:rPr>
    </w:lvl>
    <w:lvl w:ilvl="4" w:tplc="5EA8A750" w:tentative="1">
      <w:start w:val="1"/>
      <w:numFmt w:val="bullet"/>
      <w:lvlText w:val="o"/>
      <w:lvlJc w:val="left"/>
      <w:pPr>
        <w:ind w:left="3600" w:hanging="360"/>
      </w:pPr>
      <w:rPr>
        <w:rFonts w:ascii="Courier New" w:hAnsi="Courier New" w:cs="Courier New" w:hint="default"/>
      </w:rPr>
    </w:lvl>
    <w:lvl w:ilvl="5" w:tplc="3D1E1DD2" w:tentative="1">
      <w:start w:val="1"/>
      <w:numFmt w:val="bullet"/>
      <w:lvlText w:val=""/>
      <w:lvlJc w:val="left"/>
      <w:pPr>
        <w:ind w:left="4320" w:hanging="360"/>
      </w:pPr>
      <w:rPr>
        <w:rFonts w:ascii="Wingdings" w:hAnsi="Wingdings" w:hint="default"/>
      </w:rPr>
    </w:lvl>
    <w:lvl w:ilvl="6" w:tplc="58621E22" w:tentative="1">
      <w:start w:val="1"/>
      <w:numFmt w:val="bullet"/>
      <w:lvlText w:val=""/>
      <w:lvlJc w:val="left"/>
      <w:pPr>
        <w:ind w:left="5040" w:hanging="360"/>
      </w:pPr>
      <w:rPr>
        <w:rFonts w:ascii="Symbol" w:hAnsi="Symbol" w:hint="default"/>
      </w:rPr>
    </w:lvl>
    <w:lvl w:ilvl="7" w:tplc="83DE582C" w:tentative="1">
      <w:start w:val="1"/>
      <w:numFmt w:val="bullet"/>
      <w:lvlText w:val="o"/>
      <w:lvlJc w:val="left"/>
      <w:pPr>
        <w:ind w:left="5760" w:hanging="360"/>
      </w:pPr>
      <w:rPr>
        <w:rFonts w:ascii="Courier New" w:hAnsi="Courier New" w:cs="Courier New" w:hint="default"/>
      </w:rPr>
    </w:lvl>
    <w:lvl w:ilvl="8" w:tplc="026899C2" w:tentative="1">
      <w:start w:val="1"/>
      <w:numFmt w:val="bullet"/>
      <w:lvlText w:val=""/>
      <w:lvlJc w:val="left"/>
      <w:pPr>
        <w:ind w:left="6480" w:hanging="360"/>
      </w:pPr>
      <w:rPr>
        <w:rFonts w:ascii="Wingdings" w:hAnsi="Wingdings" w:hint="default"/>
      </w:rPr>
    </w:lvl>
  </w:abstractNum>
  <w:abstractNum w:abstractNumId="1" w15:restartNumberingAfterBreak="0">
    <w:nsid w:val="468350EB"/>
    <w:multiLevelType w:val="hybridMultilevel"/>
    <w:tmpl w:val="0C6855E6"/>
    <w:lvl w:ilvl="0" w:tplc="B94E70B8">
      <w:start w:val="1"/>
      <w:numFmt w:val="bullet"/>
      <w:lvlText w:val=""/>
      <w:lvlJc w:val="left"/>
      <w:pPr>
        <w:ind w:left="1440" w:hanging="360"/>
      </w:pPr>
      <w:rPr>
        <w:rFonts w:ascii="Symbol" w:hAnsi="Symbol" w:hint="default"/>
      </w:rPr>
    </w:lvl>
    <w:lvl w:ilvl="1" w:tplc="BEA09C4A" w:tentative="1">
      <w:start w:val="1"/>
      <w:numFmt w:val="bullet"/>
      <w:lvlText w:val="o"/>
      <w:lvlJc w:val="left"/>
      <w:pPr>
        <w:ind w:left="2160" w:hanging="360"/>
      </w:pPr>
      <w:rPr>
        <w:rFonts w:ascii="Courier New" w:hAnsi="Courier New" w:cs="Courier New" w:hint="default"/>
      </w:rPr>
    </w:lvl>
    <w:lvl w:ilvl="2" w:tplc="48BEF704" w:tentative="1">
      <w:start w:val="1"/>
      <w:numFmt w:val="bullet"/>
      <w:lvlText w:val=""/>
      <w:lvlJc w:val="left"/>
      <w:pPr>
        <w:ind w:left="2880" w:hanging="360"/>
      </w:pPr>
      <w:rPr>
        <w:rFonts w:ascii="Wingdings" w:hAnsi="Wingdings" w:hint="default"/>
      </w:rPr>
    </w:lvl>
    <w:lvl w:ilvl="3" w:tplc="1744F650" w:tentative="1">
      <w:start w:val="1"/>
      <w:numFmt w:val="bullet"/>
      <w:lvlText w:val=""/>
      <w:lvlJc w:val="left"/>
      <w:pPr>
        <w:ind w:left="3600" w:hanging="360"/>
      </w:pPr>
      <w:rPr>
        <w:rFonts w:ascii="Symbol" w:hAnsi="Symbol" w:hint="default"/>
      </w:rPr>
    </w:lvl>
    <w:lvl w:ilvl="4" w:tplc="234EBCF2" w:tentative="1">
      <w:start w:val="1"/>
      <w:numFmt w:val="bullet"/>
      <w:lvlText w:val="o"/>
      <w:lvlJc w:val="left"/>
      <w:pPr>
        <w:ind w:left="4320" w:hanging="360"/>
      </w:pPr>
      <w:rPr>
        <w:rFonts w:ascii="Courier New" w:hAnsi="Courier New" w:cs="Courier New" w:hint="default"/>
      </w:rPr>
    </w:lvl>
    <w:lvl w:ilvl="5" w:tplc="3DC8A2E6" w:tentative="1">
      <w:start w:val="1"/>
      <w:numFmt w:val="bullet"/>
      <w:lvlText w:val=""/>
      <w:lvlJc w:val="left"/>
      <w:pPr>
        <w:ind w:left="5040" w:hanging="360"/>
      </w:pPr>
      <w:rPr>
        <w:rFonts w:ascii="Wingdings" w:hAnsi="Wingdings" w:hint="default"/>
      </w:rPr>
    </w:lvl>
    <w:lvl w:ilvl="6" w:tplc="D762494E" w:tentative="1">
      <w:start w:val="1"/>
      <w:numFmt w:val="bullet"/>
      <w:lvlText w:val=""/>
      <w:lvlJc w:val="left"/>
      <w:pPr>
        <w:ind w:left="5760" w:hanging="360"/>
      </w:pPr>
      <w:rPr>
        <w:rFonts w:ascii="Symbol" w:hAnsi="Symbol" w:hint="default"/>
      </w:rPr>
    </w:lvl>
    <w:lvl w:ilvl="7" w:tplc="9758B060" w:tentative="1">
      <w:start w:val="1"/>
      <w:numFmt w:val="bullet"/>
      <w:lvlText w:val="o"/>
      <w:lvlJc w:val="left"/>
      <w:pPr>
        <w:ind w:left="6480" w:hanging="360"/>
      </w:pPr>
      <w:rPr>
        <w:rFonts w:ascii="Courier New" w:hAnsi="Courier New" w:cs="Courier New" w:hint="default"/>
      </w:rPr>
    </w:lvl>
    <w:lvl w:ilvl="8" w:tplc="D6DC4A6C"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81"/>
    <w:rsid w:val="000B7181"/>
    <w:rsid w:val="00354F0A"/>
    <w:rsid w:val="00AA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EB0CC-2948-423D-ABD3-AFCC40A7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F8"/>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9C2"/>
    <w:pPr>
      <w:ind w:left="720"/>
    </w:pPr>
    <w:rPr>
      <w:rFonts w:ascii="Calibri" w:eastAsiaTheme="minorHAnsi" w:hAnsi="Calibri" w:cs="Calibri"/>
      <w:sz w:val="22"/>
      <w:szCs w:val="22"/>
      <w:lang w:eastAsia="en-US"/>
    </w:rPr>
  </w:style>
  <w:style w:type="paragraph" w:customStyle="1" w:styleId="Default">
    <w:name w:val="Default"/>
    <w:rsid w:val="00C2730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E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E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129F2037C4A4C921C60A747924ABF" ma:contentTypeVersion="9" ma:contentTypeDescription="Create a new document." ma:contentTypeScope="" ma:versionID="1a4ae04d6c4857c786eb4f3703ba94cc">
  <xsd:schema xmlns:xsd="http://www.w3.org/2001/XMLSchema" xmlns:xs="http://www.w3.org/2001/XMLSchema" xmlns:p="http://schemas.microsoft.com/office/2006/metadata/properties" xmlns:ns3="dd252a66-e1d7-4967-b931-5786ce0a5bad" targetNamespace="http://schemas.microsoft.com/office/2006/metadata/properties" ma:root="true" ma:fieldsID="4066e6b32626310033dfd6d061b461cb" ns3:_="">
    <xsd:import namespace="dd252a66-e1d7-4967-b931-5786ce0a5b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52a66-e1d7-4967-b931-5786ce0a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A50D6-AFF3-4129-B101-41C4C72D830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d252a66-e1d7-4967-b931-5786ce0a5bad"/>
    <ds:schemaRef ds:uri="http://www.w3.org/XML/1998/namespace"/>
    <ds:schemaRef ds:uri="http://purl.org/dc/dcmitype/"/>
  </ds:schemaRefs>
</ds:datastoreItem>
</file>

<file path=customXml/itemProps2.xml><?xml version="1.0" encoding="utf-8"?>
<ds:datastoreItem xmlns:ds="http://schemas.openxmlformats.org/officeDocument/2006/customXml" ds:itemID="{21CDC8BB-6A30-44C7-976C-B2197A7472C6}">
  <ds:schemaRefs>
    <ds:schemaRef ds:uri="http://schemas.microsoft.com/sharepoint/v3/contenttype/forms"/>
  </ds:schemaRefs>
</ds:datastoreItem>
</file>

<file path=customXml/itemProps3.xml><?xml version="1.0" encoding="utf-8"?>
<ds:datastoreItem xmlns:ds="http://schemas.openxmlformats.org/officeDocument/2006/customXml" ds:itemID="{DFE2FC26-F7FE-40E9-AD38-7F045CF29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52a66-e1d7-4967-b931-5786ce0a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Mynott, Josh</dc:creator>
  <cp:lastModifiedBy>Jones, Debra</cp:lastModifiedBy>
  <cp:revision>5</cp:revision>
  <dcterms:created xsi:type="dcterms:W3CDTF">2021-01-12T14:42:00Z</dcterms:created>
  <dcterms:modified xsi:type="dcterms:W3CDTF">2021-01-14T17:34:00Z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0x010100833129F2037C4A4C921C60A747924ABF</vt:lpwstr>
  </property>
</Properties>
</file>